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3"/>
        <w:bidi w:val="0"/>
        <w:jc w:val="center"/>
        <w:rPr>
          <w:rFonts w:hint="eastAsia" w:ascii="宋体" w:hAnsi="宋体" w:eastAsia="宋体" w:cs="宋体"/>
          <w:color w:val="000000"/>
          <w:sz w:val="28"/>
          <w:szCs w:val="24"/>
          <w:highlight w:val="white"/>
          <w:u w:val="single"/>
          <w:lang w:eastAsia="zh-CN"/>
        </w:rPr>
      </w:pPr>
      <w:bookmarkStart w:id="0" w:name="OLE_LINK2"/>
      <w:bookmarkStart w:id="1" w:name="OLE_LINK3"/>
      <w:bookmarkStart w:id="2" w:name="OLE_LINK1"/>
      <w:bookmarkStart w:id="3" w:name="OLE_LINK4"/>
      <w:bookmarkStart w:id="4" w:name="OLE_LINK5"/>
      <w:r>
        <w:rPr>
          <w:rFonts w:hint="eastAsia" w:ascii="宋体" w:hAnsi="宋体" w:eastAsia="宋体" w:cs="宋体"/>
          <w:sz w:val="32"/>
          <w:szCs w:val="32"/>
          <w:lang w:eastAsia="zh-CN"/>
        </w:rPr>
        <w:t>泗洪县2024年主要农作物病虫害防治项目征求意见公告</w:t>
      </w:r>
    </w:p>
    <w:p w14:paraId="504EFD2E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u w:val="single"/>
          <w:lang w:eastAsia="zh-CN"/>
        </w:rPr>
        <w:t>泗洪县农业技术推广中心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u w:val="single"/>
          <w:lang w:eastAsia="zh-CN"/>
        </w:rPr>
        <w:t>泗洪县2024年主要农作物病虫害防治项目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。有关事项如</w:t>
      </w:r>
      <w:bookmarkStart w:id="15" w:name="_GoBack"/>
      <w:bookmarkEnd w:id="15"/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  <w:t>泗洪县2024年主要农作物病虫害防治项目</w:t>
      </w:r>
    </w:p>
    <w:p w14:paraId="21F7F65B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4"/>
        <w:tblpPr w:leftFromText="180" w:rightFromText="180" w:vertAnchor="text" w:horzAnchor="page" w:tblpX="988" w:tblpY="502"/>
        <w:tblW w:w="9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10"/>
        <w:gridCol w:w="3018"/>
        <w:gridCol w:w="1696"/>
        <w:gridCol w:w="1052"/>
        <w:gridCol w:w="782"/>
      </w:tblGrid>
      <w:tr w14:paraId="68A2E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71D6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7D1A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2C23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41A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最高单价限价</w:t>
            </w:r>
          </w:p>
          <w:p w14:paraId="73E58AC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（万元/吨）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2654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总价</w:t>
            </w:r>
          </w:p>
          <w:p w14:paraId="06D3019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502A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185A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BCDC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916E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15%井冈·戊唑醇悬浮剂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C297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900g/瓶，农药登记防治范围须涵盖小麦赤霉病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CA4E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5.8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/吨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DDA7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C1D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EFD5FF9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bookmarkStart w:id="8" w:name="OLE_LINK23"/>
      <w:bookmarkStart w:id="9" w:name="OLE_LINK1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5943862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8"/>
      <w:bookmarkEnd w:id="9"/>
    </w:p>
    <w:p w14:paraId="372BCD31">
      <w:pPr>
        <w:pageBreakBefore w:val="0"/>
        <w:numPr>
          <w:ilvl w:val="0"/>
          <w:numId w:val="2"/>
        </w:numPr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 </w:t>
      </w:r>
    </w:p>
    <w:p w14:paraId="4AE7BA62">
      <w:pPr>
        <w:keepNext/>
        <w:keepLines/>
        <w:pageBreakBefore w:val="0"/>
        <w:shd w:val="clear" w:color="auto"/>
        <w:spacing w:line="560" w:lineRule="exact"/>
        <w:ind w:firstLine="480" w:firstLineChars="200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0" w:name="OLE_LINK25"/>
      <w:bookmarkStart w:id="11" w:name="OLE_LINK1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投标供应商若是农药生产制造商，须提供有效期内的《农药生产许可证》及《农药登记证》且《农药登记证》登记农作物范围须涵盖小麦赤霉病。 </w:t>
      </w:r>
    </w:p>
    <w:p w14:paraId="1F07B234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同时所投产品须具有《农药登记证》且《农药登记证》登记农作物范围须涵盖小麦赤霉病。</w:t>
      </w:r>
    </w:p>
    <w:bookmarkEnd w:id="10"/>
    <w:bookmarkEnd w:id="11"/>
    <w:p w14:paraId="387AA432">
      <w:pPr>
        <w:keepNext/>
        <w:keepLines/>
        <w:pageBreakBefore w:val="0"/>
        <w:shd w:val="clear" w:color="auto"/>
        <w:spacing w:line="560" w:lineRule="exact"/>
        <w:ind w:firstLine="480" w:firstLineChars="200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注：以上所有证明材料提供原件扫描件或复印件。</w:t>
      </w: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4"/>
        </w:rPr>
      </w:pPr>
      <w:bookmarkStart w:id="12" w:name="EBd6e08bd78d674b669f89e3eb71dbbd3d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9</w:t>
      </w:r>
      <w:bookmarkEnd w:id="12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至</w:t>
      </w:r>
      <w:bookmarkStart w:id="13" w:name="EB4a82fe30d91a48338ebb02b9012d939c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:</w:t>
      </w:r>
      <w:bookmarkEnd w:id="13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4"/>
          <w:highlight w:val="white"/>
        </w:rPr>
      </w:pPr>
      <w:bookmarkStart w:id="14" w:name="OLE_LINK6"/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供应商在宿迁市政府采购网（http://zfcg.sqcz.suqian.gov.cn/）找到本项目获取相关调研文件。</w:t>
      </w:r>
      <w:bookmarkEnd w:id="14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1.</w:t>
      </w:r>
    </w:p>
    <w:p w14:paraId="205DDECD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2.</w:t>
      </w:r>
    </w:p>
    <w:p w14:paraId="22850092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3.</w:t>
      </w:r>
    </w:p>
    <w:p w14:paraId="77BA19E1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val="en-US" w:eastAsia="zh-CN"/>
        </w:rPr>
        <w:t>604747726@qq.com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24 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  <w:lang w:val="en-US" w:eastAsia="zh-CN"/>
        </w:rPr>
        <w:t>604747726@qq.com</w:t>
      </w:r>
      <w:r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  <w:t>泗洪县农业技术推广中心</w:t>
      </w:r>
    </w:p>
    <w:p w14:paraId="6E497C9E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 xml:space="preserve"> </w:t>
      </w:r>
    </w:p>
    <w:p w14:paraId="2C064092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</w:rPr>
        <w:t>联系方式：</w:t>
      </w:r>
      <w:bookmarkEnd w:id="4"/>
      <w:r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val="en-US" w:eastAsia="zh-CN"/>
        </w:rPr>
        <w:t>15261287892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1394F2"/>
    <w:multiLevelType w:val="singleLevel"/>
    <w:tmpl w:val="791394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2C40284"/>
    <w:rsid w:val="02F94AB6"/>
    <w:rsid w:val="04155920"/>
    <w:rsid w:val="042F4508"/>
    <w:rsid w:val="06023C82"/>
    <w:rsid w:val="06764670"/>
    <w:rsid w:val="0687062B"/>
    <w:rsid w:val="09772BD9"/>
    <w:rsid w:val="09BE6112"/>
    <w:rsid w:val="0AE41BA8"/>
    <w:rsid w:val="0AEA2F37"/>
    <w:rsid w:val="0B1D155E"/>
    <w:rsid w:val="0B6C62D8"/>
    <w:rsid w:val="0BF16C73"/>
    <w:rsid w:val="0C2F779B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5C18E4"/>
    <w:rsid w:val="13DA623E"/>
    <w:rsid w:val="14132A32"/>
    <w:rsid w:val="145E0C1D"/>
    <w:rsid w:val="149F2FE4"/>
    <w:rsid w:val="151E03AD"/>
    <w:rsid w:val="156C55BC"/>
    <w:rsid w:val="16D43419"/>
    <w:rsid w:val="17033CFE"/>
    <w:rsid w:val="17995463"/>
    <w:rsid w:val="19006747"/>
    <w:rsid w:val="194505FE"/>
    <w:rsid w:val="199D21E8"/>
    <w:rsid w:val="1A0B4BA7"/>
    <w:rsid w:val="1AE16104"/>
    <w:rsid w:val="1AED4AA9"/>
    <w:rsid w:val="1C84143D"/>
    <w:rsid w:val="1D525097"/>
    <w:rsid w:val="1F2111C5"/>
    <w:rsid w:val="20426272"/>
    <w:rsid w:val="21244F9D"/>
    <w:rsid w:val="225673D8"/>
    <w:rsid w:val="23A10B26"/>
    <w:rsid w:val="258B55EA"/>
    <w:rsid w:val="259A3A7F"/>
    <w:rsid w:val="25B62087"/>
    <w:rsid w:val="28ED036A"/>
    <w:rsid w:val="28F9286B"/>
    <w:rsid w:val="2A7228D5"/>
    <w:rsid w:val="2A9E06AD"/>
    <w:rsid w:val="2AB078A1"/>
    <w:rsid w:val="2B42499D"/>
    <w:rsid w:val="2C5A3F68"/>
    <w:rsid w:val="2CF972DD"/>
    <w:rsid w:val="2E0E500A"/>
    <w:rsid w:val="2EA339A5"/>
    <w:rsid w:val="2F146650"/>
    <w:rsid w:val="2FE204FD"/>
    <w:rsid w:val="30515682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9470146"/>
    <w:rsid w:val="39873EC3"/>
    <w:rsid w:val="3A267238"/>
    <w:rsid w:val="3ABB02C8"/>
    <w:rsid w:val="3AE3337B"/>
    <w:rsid w:val="3B194FEF"/>
    <w:rsid w:val="3B253993"/>
    <w:rsid w:val="3B6049CB"/>
    <w:rsid w:val="3C616C4D"/>
    <w:rsid w:val="3E7F160D"/>
    <w:rsid w:val="3EA01CAF"/>
    <w:rsid w:val="3F84512C"/>
    <w:rsid w:val="3FCB2D5B"/>
    <w:rsid w:val="40F51F23"/>
    <w:rsid w:val="41F421AA"/>
    <w:rsid w:val="42A653BA"/>
    <w:rsid w:val="42A81132"/>
    <w:rsid w:val="43811983"/>
    <w:rsid w:val="4407632C"/>
    <w:rsid w:val="44134CD1"/>
    <w:rsid w:val="442E6AD0"/>
    <w:rsid w:val="44CE6E4A"/>
    <w:rsid w:val="47335E57"/>
    <w:rsid w:val="4743767B"/>
    <w:rsid w:val="476615BC"/>
    <w:rsid w:val="47A4045F"/>
    <w:rsid w:val="491D5CAA"/>
    <w:rsid w:val="49D46CB0"/>
    <w:rsid w:val="49EF3AEA"/>
    <w:rsid w:val="4A88006B"/>
    <w:rsid w:val="4A8A55C1"/>
    <w:rsid w:val="4B8B7843"/>
    <w:rsid w:val="4D07739D"/>
    <w:rsid w:val="4DD252B5"/>
    <w:rsid w:val="4E5959D6"/>
    <w:rsid w:val="4E7C16C5"/>
    <w:rsid w:val="4E956E59"/>
    <w:rsid w:val="4EA36C51"/>
    <w:rsid w:val="4FAC368C"/>
    <w:rsid w:val="506568B4"/>
    <w:rsid w:val="510D2AA8"/>
    <w:rsid w:val="51E97071"/>
    <w:rsid w:val="52232583"/>
    <w:rsid w:val="52741030"/>
    <w:rsid w:val="53D72999"/>
    <w:rsid w:val="54905ECA"/>
    <w:rsid w:val="55B75118"/>
    <w:rsid w:val="57342B3C"/>
    <w:rsid w:val="57580F21"/>
    <w:rsid w:val="57607DD5"/>
    <w:rsid w:val="59F34F31"/>
    <w:rsid w:val="5AAC3332"/>
    <w:rsid w:val="5B5E63DA"/>
    <w:rsid w:val="5B74678D"/>
    <w:rsid w:val="5BCA1CC1"/>
    <w:rsid w:val="5BD963A8"/>
    <w:rsid w:val="5CB41136"/>
    <w:rsid w:val="5DC0337C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5A25A5D"/>
    <w:rsid w:val="66ED0F5A"/>
    <w:rsid w:val="677B47B7"/>
    <w:rsid w:val="68212C69"/>
    <w:rsid w:val="6841155D"/>
    <w:rsid w:val="68802085"/>
    <w:rsid w:val="68A45648"/>
    <w:rsid w:val="6A4315BC"/>
    <w:rsid w:val="6A4964A7"/>
    <w:rsid w:val="6B5B0B88"/>
    <w:rsid w:val="6BAA11C7"/>
    <w:rsid w:val="6C164AAF"/>
    <w:rsid w:val="6C861C34"/>
    <w:rsid w:val="6F495F20"/>
    <w:rsid w:val="6F5C3916"/>
    <w:rsid w:val="6F8D5195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905715"/>
    <w:rsid w:val="785901FD"/>
    <w:rsid w:val="78961451"/>
    <w:rsid w:val="79FA5A10"/>
    <w:rsid w:val="7A8039BD"/>
    <w:rsid w:val="7A862E00"/>
    <w:rsid w:val="7AFE00DC"/>
    <w:rsid w:val="7C596A1E"/>
    <w:rsid w:val="7D7004C3"/>
    <w:rsid w:val="7DE844FD"/>
    <w:rsid w:val="7E0F7090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6">
    <w:name w:val="Strong"/>
    <w:basedOn w:val="5"/>
    <w:autoRedefine/>
    <w:qFormat/>
    <w:uiPriority w:val="0"/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</w:style>
  <w:style w:type="character" w:styleId="10">
    <w:name w:val="HTML Typewriter"/>
    <w:basedOn w:val="5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ascii="monospace" w:hAnsi="monospace" w:eastAsia="monospace" w:cs="monospace"/>
    </w:rPr>
  </w:style>
  <w:style w:type="paragraph" w:customStyle="1" w:styleId="18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old"/>
    <w:basedOn w:val="5"/>
    <w:autoRedefine/>
    <w:qFormat/>
    <w:uiPriority w:val="0"/>
    <w:rPr>
      <w:color w:val="999999"/>
    </w:rPr>
  </w:style>
  <w:style w:type="character" w:customStyle="1" w:styleId="22">
    <w:name w:val="hour_am"/>
    <w:basedOn w:val="5"/>
    <w:autoRedefine/>
    <w:qFormat/>
    <w:uiPriority w:val="0"/>
  </w:style>
  <w:style w:type="character" w:customStyle="1" w:styleId="23">
    <w:name w:val="hover5"/>
    <w:basedOn w:val="5"/>
    <w:autoRedefine/>
    <w:qFormat/>
    <w:uiPriority w:val="0"/>
    <w:rPr>
      <w:shd w:val="clear" w:fill="EEEEEE"/>
    </w:rPr>
  </w:style>
  <w:style w:type="character" w:customStyle="1" w:styleId="24">
    <w:name w:val="glyphicon"/>
    <w:basedOn w:val="5"/>
    <w:autoRedefine/>
    <w:qFormat/>
    <w:uiPriority w:val="0"/>
  </w:style>
  <w:style w:type="character" w:customStyle="1" w:styleId="25">
    <w:name w:val="hour_pm"/>
    <w:basedOn w:val="5"/>
    <w:autoRedefine/>
    <w:qFormat/>
    <w:uiPriority w:val="0"/>
  </w:style>
  <w:style w:type="character" w:customStyle="1" w:styleId="26">
    <w:name w:val="current2"/>
    <w:basedOn w:val="5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7">
    <w:name w:val="current3"/>
    <w:basedOn w:val="5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disabled"/>
    <w:basedOn w:val="5"/>
    <w:autoRedefine/>
    <w:qFormat/>
    <w:uiPriority w:val="0"/>
    <w:rPr>
      <w:color w:val="DDDDDD"/>
      <w:bdr w:val="single" w:color="EEEEEE" w:sz="6" w:space="0"/>
    </w:rPr>
  </w:style>
  <w:style w:type="character" w:customStyle="1" w:styleId="29">
    <w:name w:val="disabled1"/>
    <w:basedOn w:val="5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current"/>
    <w:basedOn w:val="5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1">
    <w:name w:val="current1"/>
    <w:basedOn w:val="5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1237</Characters>
  <Lines>0</Lines>
  <Paragraphs>0</Paragraphs>
  <TotalTime>0</TotalTime>
  <ScaleCrop>false</ScaleCrop>
  <LinksUpToDate>false</LinksUpToDate>
  <CharactersWithSpaces>1253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2025-01-20T09:02:08Z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